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CA75" w14:textId="12C49C38" w:rsidR="00000000" w:rsidRDefault="00000000"/>
    <w:p w14:paraId="1BA9DAAD" w14:textId="2D7BAC8C" w:rsidR="00DE64DE" w:rsidRDefault="00DE64DE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6419"/>
      </w:tblGrid>
      <w:tr w:rsidR="00DE64DE" w:rsidRPr="00541444" w14:paraId="749B20C0" w14:textId="77777777" w:rsidTr="0022512B">
        <w:tc>
          <w:tcPr>
            <w:tcW w:w="9535" w:type="dxa"/>
            <w:gridSpan w:val="2"/>
            <w:shd w:val="clear" w:color="auto" w:fill="D9D9D9" w:themeFill="background1" w:themeFillShade="D9"/>
          </w:tcPr>
          <w:p w14:paraId="25414197" w14:textId="77777777" w:rsidR="00DE64DE" w:rsidRDefault="00DE64DE" w:rsidP="0022512B">
            <w:pPr>
              <w:rPr>
                <w:b/>
                <w:bCs/>
              </w:rPr>
            </w:pPr>
            <w:r w:rsidRPr="00541444">
              <w:rPr>
                <w:b/>
                <w:bCs/>
              </w:rPr>
              <w:t>Sub-Processor</w:t>
            </w:r>
            <w:r>
              <w:rPr>
                <w:b/>
                <w:bCs/>
              </w:rPr>
              <w:t>s</w:t>
            </w:r>
          </w:p>
          <w:p w14:paraId="51E90CC1" w14:textId="7E65DFA2" w:rsidR="001676FB" w:rsidRPr="00541444" w:rsidRDefault="001676FB" w:rsidP="0022512B">
            <w:pPr>
              <w:rPr>
                <w:b/>
                <w:bCs/>
              </w:rPr>
            </w:pPr>
          </w:p>
        </w:tc>
      </w:tr>
      <w:tr w:rsidR="00DE64DE" w:rsidRPr="00541444" w14:paraId="343C6FB0" w14:textId="77777777" w:rsidTr="0022512B">
        <w:tc>
          <w:tcPr>
            <w:tcW w:w="3116" w:type="dxa"/>
          </w:tcPr>
          <w:p w14:paraId="65BE279E" w14:textId="77777777" w:rsidR="00DE64DE" w:rsidRDefault="00DE64DE" w:rsidP="00DE64DE">
            <w:pPr>
              <w:rPr>
                <w:b/>
                <w:bCs/>
              </w:rPr>
            </w:pPr>
            <w:r w:rsidRPr="00541444">
              <w:rPr>
                <w:b/>
                <w:bCs/>
              </w:rPr>
              <w:t>Company</w:t>
            </w:r>
            <w:r>
              <w:rPr>
                <w:b/>
                <w:bCs/>
              </w:rPr>
              <w:t xml:space="preserve"> or Entity</w:t>
            </w:r>
          </w:p>
          <w:p w14:paraId="071841F1" w14:textId="3282FA04" w:rsidR="00DE64DE" w:rsidRPr="00541444" w:rsidRDefault="00DE64DE" w:rsidP="0022512B">
            <w:pPr>
              <w:jc w:val="center"/>
              <w:rPr>
                <w:b/>
                <w:bCs/>
              </w:rPr>
            </w:pPr>
          </w:p>
        </w:tc>
        <w:tc>
          <w:tcPr>
            <w:tcW w:w="6419" w:type="dxa"/>
          </w:tcPr>
          <w:p w14:paraId="48A670A6" w14:textId="77777777" w:rsidR="00DE64DE" w:rsidRPr="00541444" w:rsidRDefault="00DE64DE" w:rsidP="00DE64DE">
            <w:pPr>
              <w:rPr>
                <w:b/>
                <w:bCs/>
              </w:rPr>
            </w:pPr>
            <w:r w:rsidRPr="00541444">
              <w:rPr>
                <w:b/>
                <w:bCs/>
              </w:rPr>
              <w:t>Function</w:t>
            </w:r>
          </w:p>
        </w:tc>
      </w:tr>
      <w:tr w:rsidR="00DE64DE" w14:paraId="3AD66554" w14:textId="77777777" w:rsidTr="0022512B">
        <w:tc>
          <w:tcPr>
            <w:tcW w:w="3116" w:type="dxa"/>
          </w:tcPr>
          <w:p w14:paraId="0D95958C" w14:textId="77777777" w:rsidR="00DE64DE" w:rsidRDefault="00DE64DE" w:rsidP="0022512B">
            <w:pPr>
              <w:spacing w:after="120"/>
            </w:pPr>
            <w:r>
              <w:t>CyrusOne</w:t>
            </w:r>
          </w:p>
        </w:tc>
        <w:tc>
          <w:tcPr>
            <w:tcW w:w="6419" w:type="dxa"/>
          </w:tcPr>
          <w:p w14:paraId="3E96D0D6" w14:textId="77777777" w:rsidR="00DE64DE" w:rsidRDefault="00DE64DE" w:rsidP="0022512B">
            <w:pPr>
              <w:spacing w:after="120"/>
            </w:pPr>
            <w:r>
              <w:t>A data center hosting company and IT service provider that owns and maintains the computing infrastructure that supports the GetThere application for corporate clients.</w:t>
            </w:r>
          </w:p>
        </w:tc>
      </w:tr>
      <w:tr w:rsidR="00DE64DE" w14:paraId="1130014B" w14:textId="77777777" w:rsidTr="0022512B">
        <w:tc>
          <w:tcPr>
            <w:tcW w:w="3116" w:type="dxa"/>
          </w:tcPr>
          <w:p w14:paraId="4DFA1B36" w14:textId="77777777" w:rsidR="00DE64DE" w:rsidRDefault="00DE64DE" w:rsidP="0022512B">
            <w:pPr>
              <w:spacing w:after="120"/>
            </w:pPr>
            <w:r>
              <w:t>DXC Technology</w:t>
            </w:r>
          </w:p>
        </w:tc>
        <w:tc>
          <w:tcPr>
            <w:tcW w:w="6419" w:type="dxa"/>
          </w:tcPr>
          <w:p w14:paraId="0EF2BC57" w14:textId="77777777" w:rsidR="00DE64DE" w:rsidRDefault="00DE64DE" w:rsidP="0022512B">
            <w:pPr>
              <w:spacing w:after="120"/>
            </w:pPr>
            <w:r>
              <w:t>A data center hosting company and IT service provider that owns and maintains the computing infrastructure that supports the GetThere application for government clients.</w:t>
            </w:r>
          </w:p>
        </w:tc>
      </w:tr>
      <w:tr w:rsidR="00DE64DE" w14:paraId="54843BFF" w14:textId="77777777" w:rsidTr="0022512B">
        <w:tc>
          <w:tcPr>
            <w:tcW w:w="3116" w:type="dxa"/>
          </w:tcPr>
          <w:p w14:paraId="79AE49BF" w14:textId="20A60895" w:rsidR="00DE64DE" w:rsidRDefault="00DE64DE" w:rsidP="0022512B">
            <w:pPr>
              <w:spacing w:after="120"/>
            </w:pPr>
            <w:r w:rsidRPr="00224106">
              <w:t xml:space="preserve">Google Cloud Platform </w:t>
            </w:r>
            <w:r>
              <w:t xml:space="preserve">(GCP) </w:t>
            </w:r>
          </w:p>
        </w:tc>
        <w:tc>
          <w:tcPr>
            <w:tcW w:w="6419" w:type="dxa"/>
          </w:tcPr>
          <w:p w14:paraId="29D20422" w14:textId="77777777" w:rsidR="00DE64DE" w:rsidRDefault="00DE64DE" w:rsidP="0022512B">
            <w:pPr>
              <w:spacing w:after="120"/>
            </w:pPr>
            <w:r>
              <w:t xml:space="preserve">A cloud computing platform that will host the GetThere application. </w:t>
            </w:r>
          </w:p>
          <w:p w14:paraId="2E502ABC" w14:textId="300E48EE" w:rsidR="000D75C1" w:rsidRDefault="000D75C1" w:rsidP="0022512B">
            <w:pPr>
              <w:spacing w:after="120"/>
            </w:pPr>
          </w:p>
        </w:tc>
      </w:tr>
    </w:tbl>
    <w:p w14:paraId="27B81700" w14:textId="4B7F0239" w:rsidR="001676FB" w:rsidRDefault="001676FB" w:rsidP="00C31073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14:paraId="4152F317" w14:textId="77777777" w:rsidR="00DE64DE" w:rsidRDefault="00DE64DE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6419"/>
      </w:tblGrid>
      <w:tr w:rsidR="00DE64DE" w:rsidRPr="00541444" w14:paraId="7E94992E" w14:textId="77777777" w:rsidTr="0022512B">
        <w:tc>
          <w:tcPr>
            <w:tcW w:w="9535" w:type="dxa"/>
            <w:gridSpan w:val="2"/>
            <w:shd w:val="clear" w:color="auto" w:fill="D9D9D9" w:themeFill="background1" w:themeFillShade="D9"/>
          </w:tcPr>
          <w:p w14:paraId="25887245" w14:textId="77777777" w:rsidR="00DE64DE" w:rsidRPr="00541444" w:rsidRDefault="00DE64DE" w:rsidP="0022512B">
            <w:pPr>
              <w:rPr>
                <w:b/>
                <w:bCs/>
              </w:rPr>
            </w:pPr>
            <w:r w:rsidRPr="00541444">
              <w:rPr>
                <w:b/>
                <w:bCs/>
              </w:rPr>
              <w:t>Third-Party Provider</w:t>
            </w:r>
            <w:r>
              <w:rPr>
                <w:b/>
                <w:bCs/>
              </w:rPr>
              <w:t>s</w:t>
            </w:r>
          </w:p>
        </w:tc>
      </w:tr>
      <w:tr w:rsidR="00DE64DE" w14:paraId="29792D57" w14:textId="77777777" w:rsidTr="0022512B">
        <w:tc>
          <w:tcPr>
            <w:tcW w:w="9535" w:type="dxa"/>
            <w:gridSpan w:val="2"/>
          </w:tcPr>
          <w:p w14:paraId="21A3F19F" w14:textId="5BC98310" w:rsidR="00DE64DE" w:rsidRDefault="001676FB" w:rsidP="00DE64DE">
            <w:pPr>
              <w:spacing w:after="120"/>
            </w:pPr>
            <w:r>
              <w:t xml:space="preserve">Get There may engage certain third-party entities to supplement </w:t>
            </w:r>
            <w:r w:rsidR="00C31073">
              <w:t>the</w:t>
            </w:r>
            <w:r>
              <w:t xml:space="preserve"> services</w:t>
            </w:r>
            <w:r w:rsidR="00C31073">
              <w:t xml:space="preserve"> offered by GetThere</w:t>
            </w:r>
            <w:r>
              <w:t>. Not all of th</w:t>
            </w:r>
            <w:r w:rsidR="00C31073">
              <w:t>e</w:t>
            </w:r>
            <w:r>
              <w:t xml:space="preserve"> third parties </w:t>
            </w:r>
            <w:r w:rsidR="00C31073">
              <w:t xml:space="preserve">listed below </w:t>
            </w:r>
            <w:r>
              <w:t>apply to all customers, as that is dependent o</w:t>
            </w:r>
            <w:r w:rsidR="00C31073">
              <w:t>n what</w:t>
            </w:r>
            <w:r>
              <w:t xml:space="preserve"> </w:t>
            </w:r>
            <w:proofErr w:type="gramStart"/>
            <w:r>
              <w:t>additional  services</w:t>
            </w:r>
            <w:proofErr w:type="gramEnd"/>
            <w:r>
              <w:t xml:space="preserve"> the customer utilizes.</w:t>
            </w:r>
          </w:p>
        </w:tc>
      </w:tr>
      <w:tr w:rsidR="00DE64DE" w14:paraId="187E3CB9" w14:textId="77777777" w:rsidTr="0022512B">
        <w:tc>
          <w:tcPr>
            <w:tcW w:w="3116" w:type="dxa"/>
          </w:tcPr>
          <w:p w14:paraId="28CD2E82" w14:textId="77777777" w:rsidR="00DE64DE" w:rsidRPr="00541444" w:rsidRDefault="00DE64DE" w:rsidP="00DE64DE">
            <w:pPr>
              <w:rPr>
                <w:b/>
                <w:bCs/>
              </w:rPr>
            </w:pPr>
            <w:r w:rsidRPr="00541444">
              <w:rPr>
                <w:b/>
                <w:bCs/>
              </w:rPr>
              <w:t>Company</w:t>
            </w:r>
            <w:r>
              <w:rPr>
                <w:b/>
                <w:bCs/>
              </w:rPr>
              <w:t xml:space="preserve"> or Entity</w:t>
            </w:r>
          </w:p>
        </w:tc>
        <w:tc>
          <w:tcPr>
            <w:tcW w:w="6419" w:type="dxa"/>
          </w:tcPr>
          <w:p w14:paraId="3140E9E8" w14:textId="77777777" w:rsidR="00DE64DE" w:rsidRDefault="00DE64DE" w:rsidP="00DE64DE">
            <w:pPr>
              <w:rPr>
                <w:b/>
                <w:bCs/>
              </w:rPr>
            </w:pPr>
            <w:r w:rsidRPr="00541444">
              <w:rPr>
                <w:b/>
                <w:bCs/>
              </w:rPr>
              <w:t>Function</w:t>
            </w:r>
          </w:p>
          <w:p w14:paraId="627E0B24" w14:textId="28571EAF" w:rsidR="00DE64DE" w:rsidRPr="00541444" w:rsidRDefault="00DE64DE" w:rsidP="00DE64DE">
            <w:pPr>
              <w:rPr>
                <w:b/>
                <w:bCs/>
              </w:rPr>
            </w:pPr>
          </w:p>
        </w:tc>
      </w:tr>
      <w:tr w:rsidR="00DE64DE" w14:paraId="48F005F2" w14:textId="77777777" w:rsidTr="0022512B">
        <w:tc>
          <w:tcPr>
            <w:tcW w:w="3116" w:type="dxa"/>
          </w:tcPr>
          <w:p w14:paraId="3DEC341D" w14:textId="77777777" w:rsidR="00DE64DE" w:rsidRDefault="00DE64DE" w:rsidP="0022512B">
            <w:pPr>
              <w:spacing w:after="120"/>
            </w:pPr>
            <w:proofErr w:type="spellStart"/>
            <w:r>
              <w:t>Apptricity</w:t>
            </w:r>
            <w:proofErr w:type="spellEnd"/>
            <w:r>
              <w:t xml:space="preserve"> Corporation</w:t>
            </w:r>
          </w:p>
        </w:tc>
        <w:tc>
          <w:tcPr>
            <w:tcW w:w="6419" w:type="dxa"/>
          </w:tcPr>
          <w:p w14:paraId="29980B23" w14:textId="77777777" w:rsidR="00DE64DE" w:rsidRDefault="00DE64DE" w:rsidP="0022512B">
            <w:pPr>
              <w:spacing w:after="120"/>
            </w:pPr>
            <w:r>
              <w:t>Expense reporting</w:t>
            </w:r>
          </w:p>
        </w:tc>
      </w:tr>
      <w:tr w:rsidR="00DE64DE" w14:paraId="604101B9" w14:textId="77777777" w:rsidTr="0022512B">
        <w:tc>
          <w:tcPr>
            <w:tcW w:w="3116" w:type="dxa"/>
          </w:tcPr>
          <w:p w14:paraId="3B20F2A6" w14:textId="77777777" w:rsidR="00DE64DE" w:rsidRDefault="00DE64DE" w:rsidP="0022512B">
            <w:pPr>
              <w:spacing w:after="120"/>
            </w:pPr>
            <w:proofErr w:type="spellStart"/>
            <w:r>
              <w:t>Aventri</w:t>
            </w:r>
            <w:proofErr w:type="spellEnd"/>
          </w:p>
        </w:tc>
        <w:tc>
          <w:tcPr>
            <w:tcW w:w="6419" w:type="dxa"/>
          </w:tcPr>
          <w:p w14:paraId="7A09AD0F" w14:textId="77777777" w:rsidR="00DE64DE" w:rsidRDefault="00DE64DE" w:rsidP="0022512B">
            <w:pPr>
              <w:spacing w:after="120"/>
            </w:pPr>
            <w:r>
              <w:t>Meeting registration and planning</w:t>
            </w:r>
          </w:p>
        </w:tc>
      </w:tr>
      <w:tr w:rsidR="00DE64DE" w14:paraId="3568BAB5" w14:textId="77777777" w:rsidTr="0022512B">
        <w:tc>
          <w:tcPr>
            <w:tcW w:w="3116" w:type="dxa"/>
          </w:tcPr>
          <w:p w14:paraId="38EBF7FD" w14:textId="77777777" w:rsidR="00DE64DE" w:rsidRDefault="00DE64DE" w:rsidP="0022512B">
            <w:pPr>
              <w:spacing w:after="120"/>
            </w:pPr>
            <w:r>
              <w:t>Booking.com</w:t>
            </w:r>
          </w:p>
        </w:tc>
        <w:tc>
          <w:tcPr>
            <w:tcW w:w="6419" w:type="dxa"/>
          </w:tcPr>
          <w:p w14:paraId="4F958052" w14:textId="77777777" w:rsidR="00DE64DE" w:rsidRDefault="00DE64DE" w:rsidP="0022512B">
            <w:pPr>
              <w:spacing w:after="120"/>
            </w:pPr>
            <w:r>
              <w:t>Non-GDS hotel content aggregator</w:t>
            </w:r>
          </w:p>
        </w:tc>
      </w:tr>
      <w:tr w:rsidR="00DE64DE" w14:paraId="0291B433" w14:textId="77777777" w:rsidTr="0022512B">
        <w:tc>
          <w:tcPr>
            <w:tcW w:w="3116" w:type="dxa"/>
          </w:tcPr>
          <w:p w14:paraId="0DCF8155" w14:textId="77777777" w:rsidR="00DE64DE" w:rsidRDefault="00DE64DE" w:rsidP="0022512B">
            <w:pPr>
              <w:spacing w:after="120"/>
            </w:pPr>
            <w:r>
              <w:t>Certain Software, Inc.</w:t>
            </w:r>
          </w:p>
        </w:tc>
        <w:tc>
          <w:tcPr>
            <w:tcW w:w="6419" w:type="dxa"/>
          </w:tcPr>
          <w:p w14:paraId="6CA1499B" w14:textId="77777777" w:rsidR="00DE64DE" w:rsidRDefault="00DE64DE" w:rsidP="0022512B">
            <w:pPr>
              <w:spacing w:after="120"/>
            </w:pPr>
            <w:r>
              <w:t>Meeting registration and planning</w:t>
            </w:r>
          </w:p>
        </w:tc>
      </w:tr>
      <w:tr w:rsidR="00DE64DE" w14:paraId="4B9A198B" w14:textId="77777777" w:rsidTr="0022512B">
        <w:tc>
          <w:tcPr>
            <w:tcW w:w="3116" w:type="dxa"/>
          </w:tcPr>
          <w:p w14:paraId="2ABAC9CB" w14:textId="77777777" w:rsidR="00DE64DE" w:rsidRDefault="00DE64DE" w:rsidP="0022512B">
            <w:pPr>
              <w:spacing w:after="120"/>
            </w:pPr>
            <w:r>
              <w:t xml:space="preserve">Chrome River </w:t>
            </w:r>
          </w:p>
        </w:tc>
        <w:tc>
          <w:tcPr>
            <w:tcW w:w="6419" w:type="dxa"/>
          </w:tcPr>
          <w:p w14:paraId="5ADC2C3D" w14:textId="77777777" w:rsidR="00DE64DE" w:rsidRDefault="00DE64DE" w:rsidP="0022512B">
            <w:pPr>
              <w:spacing w:after="120"/>
            </w:pPr>
            <w:r>
              <w:t>Expense reporting</w:t>
            </w:r>
          </w:p>
        </w:tc>
      </w:tr>
      <w:tr w:rsidR="00DE64DE" w14:paraId="15FF031E" w14:textId="77777777" w:rsidTr="0022512B">
        <w:tc>
          <w:tcPr>
            <w:tcW w:w="3116" w:type="dxa"/>
          </w:tcPr>
          <w:p w14:paraId="71D2CD39" w14:textId="77777777" w:rsidR="00DE64DE" w:rsidRDefault="00DE64DE" w:rsidP="0022512B">
            <w:pPr>
              <w:spacing w:after="120"/>
            </w:pPr>
            <w:proofErr w:type="spellStart"/>
            <w:r>
              <w:t>ComBTAS</w:t>
            </w:r>
            <w:proofErr w:type="spellEnd"/>
            <w:r>
              <w:t>, Ltd.</w:t>
            </w:r>
          </w:p>
        </w:tc>
        <w:tc>
          <w:tcPr>
            <w:tcW w:w="6419" w:type="dxa"/>
          </w:tcPr>
          <w:p w14:paraId="3F17FAD8" w14:textId="77777777" w:rsidR="00DE64DE" w:rsidRDefault="00DE64DE" w:rsidP="0022512B">
            <w:pPr>
              <w:spacing w:after="120"/>
            </w:pPr>
            <w:r>
              <w:t>Expense reporting</w:t>
            </w:r>
          </w:p>
        </w:tc>
      </w:tr>
      <w:tr w:rsidR="00DE64DE" w14:paraId="7AB513C0" w14:textId="77777777" w:rsidTr="0022512B">
        <w:tc>
          <w:tcPr>
            <w:tcW w:w="3116" w:type="dxa"/>
          </w:tcPr>
          <w:p w14:paraId="732756C9" w14:textId="77777777" w:rsidR="00DE64DE" w:rsidRDefault="00DE64DE" w:rsidP="0022512B">
            <w:pPr>
              <w:spacing w:after="120"/>
            </w:pPr>
            <w:proofErr w:type="spellStart"/>
            <w:r>
              <w:t>Conferma</w:t>
            </w:r>
            <w:proofErr w:type="spellEnd"/>
          </w:p>
        </w:tc>
        <w:tc>
          <w:tcPr>
            <w:tcW w:w="6419" w:type="dxa"/>
          </w:tcPr>
          <w:p w14:paraId="47394266" w14:textId="77777777" w:rsidR="00DE64DE" w:rsidRDefault="00DE64DE" w:rsidP="0022512B">
            <w:pPr>
              <w:spacing w:after="120"/>
            </w:pPr>
            <w:r>
              <w:t>Virtual payments</w:t>
            </w:r>
          </w:p>
        </w:tc>
      </w:tr>
      <w:tr w:rsidR="00DE64DE" w14:paraId="34AA7B56" w14:textId="77777777" w:rsidTr="0022512B">
        <w:tc>
          <w:tcPr>
            <w:tcW w:w="3116" w:type="dxa"/>
          </w:tcPr>
          <w:p w14:paraId="0FC39EA5" w14:textId="77777777" w:rsidR="00DE64DE" w:rsidRDefault="00DE64DE" w:rsidP="0022512B">
            <w:pPr>
              <w:spacing w:after="120"/>
            </w:pPr>
            <w:r>
              <w:t>Coupa Software Inc</w:t>
            </w:r>
          </w:p>
        </w:tc>
        <w:tc>
          <w:tcPr>
            <w:tcW w:w="6419" w:type="dxa"/>
          </w:tcPr>
          <w:p w14:paraId="5EA9D703" w14:textId="77777777" w:rsidR="00DE64DE" w:rsidRDefault="00DE64DE" w:rsidP="0022512B">
            <w:pPr>
              <w:spacing w:after="120"/>
            </w:pPr>
            <w:r>
              <w:t>Expense reporting</w:t>
            </w:r>
          </w:p>
        </w:tc>
      </w:tr>
      <w:tr w:rsidR="00DE64DE" w14:paraId="261257C4" w14:textId="77777777" w:rsidTr="0022512B">
        <w:tc>
          <w:tcPr>
            <w:tcW w:w="3116" w:type="dxa"/>
          </w:tcPr>
          <w:p w14:paraId="0B4A65A4" w14:textId="77777777" w:rsidR="00DE64DE" w:rsidRDefault="00DE64DE" w:rsidP="0022512B">
            <w:pPr>
              <w:spacing w:after="120"/>
            </w:pPr>
            <w:r>
              <w:t>Cvent Inc</w:t>
            </w:r>
          </w:p>
        </w:tc>
        <w:tc>
          <w:tcPr>
            <w:tcW w:w="6419" w:type="dxa"/>
          </w:tcPr>
          <w:p w14:paraId="4029FE6C" w14:textId="77777777" w:rsidR="00DE64DE" w:rsidRDefault="00DE64DE" w:rsidP="0022512B">
            <w:pPr>
              <w:spacing w:after="120"/>
            </w:pPr>
            <w:r>
              <w:t>Meeting registration and planning</w:t>
            </w:r>
          </w:p>
        </w:tc>
      </w:tr>
      <w:tr w:rsidR="00DE64DE" w14:paraId="718CF67D" w14:textId="77777777" w:rsidTr="0022512B">
        <w:tc>
          <w:tcPr>
            <w:tcW w:w="3116" w:type="dxa"/>
          </w:tcPr>
          <w:p w14:paraId="28BDCE93" w14:textId="77777777" w:rsidR="00DE64DE" w:rsidRDefault="00DE64DE" w:rsidP="0022512B">
            <w:pPr>
              <w:spacing w:after="120"/>
            </w:pPr>
            <w:proofErr w:type="spellStart"/>
            <w:r>
              <w:t>DataBasics</w:t>
            </w:r>
            <w:proofErr w:type="spellEnd"/>
            <w:r>
              <w:t>, Inc.</w:t>
            </w:r>
            <w:r>
              <w:tab/>
            </w:r>
          </w:p>
        </w:tc>
        <w:tc>
          <w:tcPr>
            <w:tcW w:w="6419" w:type="dxa"/>
          </w:tcPr>
          <w:p w14:paraId="14AAA51D" w14:textId="77777777" w:rsidR="00DE64DE" w:rsidRDefault="00DE64DE" w:rsidP="0022512B">
            <w:pPr>
              <w:spacing w:after="120"/>
            </w:pPr>
            <w:r>
              <w:t>Expense reporting</w:t>
            </w:r>
          </w:p>
        </w:tc>
      </w:tr>
      <w:tr w:rsidR="00DE64DE" w14:paraId="422522E4" w14:textId="77777777" w:rsidTr="0022512B">
        <w:tc>
          <w:tcPr>
            <w:tcW w:w="3116" w:type="dxa"/>
          </w:tcPr>
          <w:p w14:paraId="47D91903" w14:textId="77777777" w:rsidR="00DE64DE" w:rsidRDefault="00DE64DE" w:rsidP="0022512B">
            <w:pPr>
              <w:spacing w:after="120"/>
            </w:pPr>
            <w:r>
              <w:t>Deem</w:t>
            </w:r>
          </w:p>
        </w:tc>
        <w:tc>
          <w:tcPr>
            <w:tcW w:w="6419" w:type="dxa"/>
          </w:tcPr>
          <w:p w14:paraId="6EA16ED0" w14:textId="77777777" w:rsidR="00DE64DE" w:rsidRDefault="00DE64DE" w:rsidP="0022512B">
            <w:pPr>
              <w:spacing w:after="120"/>
            </w:pPr>
            <w:r>
              <w:t>Ground transportation content aggregator</w:t>
            </w:r>
          </w:p>
        </w:tc>
      </w:tr>
      <w:tr w:rsidR="00DE64DE" w14:paraId="35D98B41" w14:textId="77777777" w:rsidTr="0022512B">
        <w:tc>
          <w:tcPr>
            <w:tcW w:w="3116" w:type="dxa"/>
          </w:tcPr>
          <w:p w14:paraId="25B84C16" w14:textId="77777777" w:rsidR="00DE64DE" w:rsidRDefault="00DE64DE" w:rsidP="0022512B">
            <w:pPr>
              <w:spacing w:after="120"/>
            </w:pPr>
            <w:r>
              <w:t>DIMO Gestion SAS</w:t>
            </w:r>
          </w:p>
        </w:tc>
        <w:tc>
          <w:tcPr>
            <w:tcW w:w="6419" w:type="dxa"/>
          </w:tcPr>
          <w:p w14:paraId="2A4BB7DE" w14:textId="77777777" w:rsidR="00DE64DE" w:rsidRDefault="00DE64DE" w:rsidP="0022512B">
            <w:pPr>
              <w:spacing w:after="120"/>
            </w:pPr>
            <w:r>
              <w:t>Expense reporting</w:t>
            </w:r>
          </w:p>
        </w:tc>
      </w:tr>
      <w:tr w:rsidR="00DE64DE" w14:paraId="4EBA5C97" w14:textId="77777777" w:rsidTr="0022512B">
        <w:tc>
          <w:tcPr>
            <w:tcW w:w="3116" w:type="dxa"/>
          </w:tcPr>
          <w:p w14:paraId="75BFFAA7" w14:textId="77777777" w:rsidR="00DE64DE" w:rsidRDefault="00DE64DE" w:rsidP="0022512B">
            <w:pPr>
              <w:spacing w:after="120"/>
            </w:pPr>
            <w:r>
              <w:t>EPS (Expedia Partner Solutions)</w:t>
            </w:r>
          </w:p>
        </w:tc>
        <w:tc>
          <w:tcPr>
            <w:tcW w:w="6419" w:type="dxa"/>
          </w:tcPr>
          <w:p w14:paraId="60FFC1CA" w14:textId="77777777" w:rsidR="00DE64DE" w:rsidRDefault="00DE64DE" w:rsidP="0022512B">
            <w:pPr>
              <w:spacing w:after="120"/>
            </w:pPr>
            <w:r>
              <w:t>Non-GDS hotel content aggregator</w:t>
            </w:r>
          </w:p>
        </w:tc>
      </w:tr>
      <w:tr w:rsidR="00DE64DE" w14:paraId="3E9F484F" w14:textId="77777777" w:rsidTr="0022512B">
        <w:tc>
          <w:tcPr>
            <w:tcW w:w="3116" w:type="dxa"/>
          </w:tcPr>
          <w:p w14:paraId="5E7EF082" w14:textId="77777777" w:rsidR="00DE64DE" w:rsidRDefault="00DE64DE" w:rsidP="0022512B">
            <w:pPr>
              <w:spacing w:after="120"/>
            </w:pPr>
            <w:proofErr w:type="spellStart"/>
            <w:r>
              <w:lastRenderedPageBreak/>
              <w:t>ExpenseAnywhere</w:t>
            </w:r>
            <w:proofErr w:type="spellEnd"/>
          </w:p>
        </w:tc>
        <w:tc>
          <w:tcPr>
            <w:tcW w:w="6419" w:type="dxa"/>
          </w:tcPr>
          <w:p w14:paraId="46DD9B65" w14:textId="77777777" w:rsidR="00DE64DE" w:rsidRDefault="00DE64DE" w:rsidP="0022512B">
            <w:pPr>
              <w:spacing w:after="120"/>
            </w:pPr>
            <w:r>
              <w:t>Expense reporting</w:t>
            </w:r>
          </w:p>
        </w:tc>
      </w:tr>
      <w:tr w:rsidR="00DE64DE" w14:paraId="15927CB1" w14:textId="77777777" w:rsidTr="0022512B">
        <w:tc>
          <w:tcPr>
            <w:tcW w:w="3116" w:type="dxa"/>
          </w:tcPr>
          <w:p w14:paraId="7FA5D7A3" w14:textId="77777777" w:rsidR="00DE64DE" w:rsidRDefault="00DE64DE" w:rsidP="0022512B">
            <w:pPr>
              <w:spacing w:after="120"/>
            </w:pPr>
            <w:proofErr w:type="spellStart"/>
            <w:r>
              <w:t>ExpenseWire</w:t>
            </w:r>
            <w:proofErr w:type="spellEnd"/>
            <w:r>
              <w:t>, LLC</w:t>
            </w:r>
          </w:p>
        </w:tc>
        <w:tc>
          <w:tcPr>
            <w:tcW w:w="6419" w:type="dxa"/>
          </w:tcPr>
          <w:p w14:paraId="184E795C" w14:textId="77777777" w:rsidR="00DE64DE" w:rsidRDefault="00DE64DE" w:rsidP="0022512B">
            <w:pPr>
              <w:spacing w:after="120"/>
            </w:pPr>
            <w:r>
              <w:t>Expense reporting</w:t>
            </w:r>
          </w:p>
        </w:tc>
      </w:tr>
      <w:tr w:rsidR="000B389B" w14:paraId="0BFB1710" w14:textId="77777777" w:rsidTr="0022512B">
        <w:tc>
          <w:tcPr>
            <w:tcW w:w="3116" w:type="dxa"/>
          </w:tcPr>
          <w:p w14:paraId="20358E57" w14:textId="77777777" w:rsidR="000B389B" w:rsidRDefault="000B389B" w:rsidP="0022512B">
            <w:pPr>
              <w:spacing w:after="120"/>
            </w:pPr>
            <w:proofErr w:type="spellStart"/>
            <w:r>
              <w:t>Groundspan</w:t>
            </w:r>
            <w:proofErr w:type="spellEnd"/>
          </w:p>
        </w:tc>
        <w:tc>
          <w:tcPr>
            <w:tcW w:w="6419" w:type="dxa"/>
          </w:tcPr>
          <w:p w14:paraId="41A25747" w14:textId="77777777" w:rsidR="000B389B" w:rsidRDefault="000B389B" w:rsidP="0022512B">
            <w:pPr>
              <w:spacing w:after="120"/>
            </w:pPr>
            <w:r>
              <w:t>Ground transportation content aggregator</w:t>
            </w:r>
          </w:p>
        </w:tc>
      </w:tr>
      <w:tr w:rsidR="000B389B" w14:paraId="5D96B281" w14:textId="77777777" w:rsidTr="0022512B">
        <w:tc>
          <w:tcPr>
            <w:tcW w:w="3116" w:type="dxa"/>
          </w:tcPr>
          <w:p w14:paraId="3AB0733D" w14:textId="77777777" w:rsidR="000B389B" w:rsidRDefault="000B389B" w:rsidP="0022512B">
            <w:pPr>
              <w:spacing w:after="120"/>
            </w:pPr>
            <w:proofErr w:type="spellStart"/>
            <w:r>
              <w:t>HotelDO</w:t>
            </w:r>
            <w:proofErr w:type="spellEnd"/>
          </w:p>
        </w:tc>
        <w:tc>
          <w:tcPr>
            <w:tcW w:w="6419" w:type="dxa"/>
          </w:tcPr>
          <w:p w14:paraId="1E41CE5E" w14:textId="77777777" w:rsidR="000B389B" w:rsidRDefault="000B389B" w:rsidP="0022512B">
            <w:pPr>
              <w:spacing w:after="120"/>
            </w:pPr>
            <w:r>
              <w:t>Non-GDS hotel content aggregator</w:t>
            </w:r>
          </w:p>
        </w:tc>
      </w:tr>
      <w:tr w:rsidR="000B389B" w14:paraId="26D24CE6" w14:textId="77777777" w:rsidTr="0022512B">
        <w:tc>
          <w:tcPr>
            <w:tcW w:w="3116" w:type="dxa"/>
          </w:tcPr>
          <w:p w14:paraId="794AEE34" w14:textId="77777777" w:rsidR="000B389B" w:rsidRDefault="000B389B" w:rsidP="0022512B">
            <w:pPr>
              <w:spacing w:after="120"/>
            </w:pPr>
            <w:r>
              <w:t>HRS</w:t>
            </w:r>
          </w:p>
        </w:tc>
        <w:tc>
          <w:tcPr>
            <w:tcW w:w="6419" w:type="dxa"/>
          </w:tcPr>
          <w:p w14:paraId="4AA13DF2" w14:textId="77777777" w:rsidR="000B389B" w:rsidRDefault="000B389B" w:rsidP="0022512B">
            <w:pPr>
              <w:spacing w:after="120"/>
            </w:pPr>
            <w:r>
              <w:t>Non-GDS hotel content aggregator</w:t>
            </w:r>
          </w:p>
        </w:tc>
      </w:tr>
      <w:tr w:rsidR="000B389B" w14:paraId="4B141612" w14:textId="77777777" w:rsidTr="0022512B">
        <w:tc>
          <w:tcPr>
            <w:tcW w:w="3116" w:type="dxa"/>
          </w:tcPr>
          <w:p w14:paraId="6CDCE12E" w14:textId="77777777" w:rsidR="000B389B" w:rsidRDefault="000B389B" w:rsidP="0022512B">
            <w:pPr>
              <w:spacing w:after="120"/>
            </w:pPr>
            <w:r>
              <w:t xml:space="preserve">Insperity </w:t>
            </w:r>
            <w:proofErr w:type="spellStart"/>
            <w:r>
              <w:t>ExpensAble</w:t>
            </w:r>
            <w:proofErr w:type="spellEnd"/>
          </w:p>
        </w:tc>
        <w:tc>
          <w:tcPr>
            <w:tcW w:w="6419" w:type="dxa"/>
          </w:tcPr>
          <w:p w14:paraId="70B78271" w14:textId="77777777" w:rsidR="000B389B" w:rsidRDefault="000B389B" w:rsidP="0022512B">
            <w:pPr>
              <w:spacing w:after="120"/>
            </w:pPr>
            <w:r>
              <w:t xml:space="preserve">Expense reporting, </w:t>
            </w:r>
            <w:proofErr w:type="gramStart"/>
            <w:r>
              <w:t>management</w:t>
            </w:r>
            <w:proofErr w:type="gramEnd"/>
            <w:r>
              <w:t xml:space="preserve"> and analysis</w:t>
            </w:r>
          </w:p>
        </w:tc>
      </w:tr>
      <w:tr w:rsidR="000B389B" w14:paraId="3C5607DA" w14:textId="77777777" w:rsidTr="0022512B">
        <w:tc>
          <w:tcPr>
            <w:tcW w:w="3116" w:type="dxa"/>
          </w:tcPr>
          <w:p w14:paraId="5C9F9577" w14:textId="77777777" w:rsidR="000B389B" w:rsidRDefault="000B389B" w:rsidP="0022512B">
            <w:pPr>
              <w:spacing w:after="120"/>
            </w:pPr>
            <w:proofErr w:type="spellStart"/>
            <w:r>
              <w:t>MobileXpense</w:t>
            </w:r>
            <w:proofErr w:type="spellEnd"/>
          </w:p>
        </w:tc>
        <w:tc>
          <w:tcPr>
            <w:tcW w:w="6419" w:type="dxa"/>
          </w:tcPr>
          <w:p w14:paraId="7135E9C4" w14:textId="77777777" w:rsidR="000B389B" w:rsidRDefault="000B389B" w:rsidP="0022512B">
            <w:pPr>
              <w:spacing w:after="120"/>
            </w:pPr>
            <w:r>
              <w:t>Expense reporting</w:t>
            </w:r>
          </w:p>
        </w:tc>
      </w:tr>
      <w:tr w:rsidR="000B389B" w14:paraId="3F0164DA" w14:textId="77777777" w:rsidTr="0022512B">
        <w:tc>
          <w:tcPr>
            <w:tcW w:w="3116" w:type="dxa"/>
          </w:tcPr>
          <w:p w14:paraId="4B781594" w14:textId="77777777" w:rsidR="000B389B" w:rsidRDefault="000B389B" w:rsidP="0022512B">
            <w:pPr>
              <w:spacing w:after="120"/>
            </w:pPr>
            <w:r>
              <w:t>Nexonia, Inc.</w:t>
            </w:r>
          </w:p>
        </w:tc>
        <w:tc>
          <w:tcPr>
            <w:tcW w:w="6419" w:type="dxa"/>
          </w:tcPr>
          <w:p w14:paraId="58E0B15F" w14:textId="77777777" w:rsidR="000B389B" w:rsidRDefault="000B389B" w:rsidP="0022512B">
            <w:pPr>
              <w:spacing w:after="120"/>
            </w:pPr>
            <w:r>
              <w:t>Expense reporting</w:t>
            </w:r>
          </w:p>
        </w:tc>
      </w:tr>
      <w:tr w:rsidR="000B389B" w14:paraId="03F6C06B" w14:textId="77777777" w:rsidTr="0022512B">
        <w:tc>
          <w:tcPr>
            <w:tcW w:w="3116" w:type="dxa"/>
          </w:tcPr>
          <w:p w14:paraId="3386C2C8" w14:textId="77777777" w:rsidR="000B389B" w:rsidRDefault="000B389B" w:rsidP="0022512B">
            <w:pPr>
              <w:spacing w:after="120"/>
            </w:pPr>
            <w:r>
              <w:t>Oracle Expenses Cloud</w:t>
            </w:r>
          </w:p>
        </w:tc>
        <w:tc>
          <w:tcPr>
            <w:tcW w:w="6419" w:type="dxa"/>
          </w:tcPr>
          <w:p w14:paraId="53EB465A" w14:textId="77777777" w:rsidR="000B389B" w:rsidRDefault="000B389B" w:rsidP="0022512B">
            <w:pPr>
              <w:spacing w:after="120"/>
            </w:pPr>
            <w:r>
              <w:t>Expense reporting</w:t>
            </w:r>
          </w:p>
        </w:tc>
      </w:tr>
      <w:tr w:rsidR="000B389B" w14:paraId="670FDF1F" w14:textId="77777777" w:rsidTr="0022512B">
        <w:tc>
          <w:tcPr>
            <w:tcW w:w="3116" w:type="dxa"/>
          </w:tcPr>
          <w:p w14:paraId="2C40748E" w14:textId="77777777" w:rsidR="000B389B" w:rsidRDefault="000B389B" w:rsidP="0022512B">
            <w:pPr>
              <w:spacing w:after="120"/>
            </w:pPr>
            <w:r>
              <w:t>Premier Inn</w:t>
            </w:r>
          </w:p>
        </w:tc>
        <w:tc>
          <w:tcPr>
            <w:tcW w:w="6419" w:type="dxa"/>
          </w:tcPr>
          <w:p w14:paraId="3FC44174" w14:textId="77777777" w:rsidR="000B389B" w:rsidRDefault="000B389B" w:rsidP="0022512B">
            <w:pPr>
              <w:spacing w:after="120"/>
            </w:pPr>
            <w:r>
              <w:t>Non-GDS hotel content aggregator</w:t>
            </w:r>
          </w:p>
        </w:tc>
      </w:tr>
      <w:tr w:rsidR="000B389B" w14:paraId="64534121" w14:textId="77777777" w:rsidTr="0022512B">
        <w:tc>
          <w:tcPr>
            <w:tcW w:w="3116" w:type="dxa"/>
          </w:tcPr>
          <w:p w14:paraId="66EF9C40" w14:textId="77777777" w:rsidR="000B389B" w:rsidRDefault="000B389B" w:rsidP="0022512B">
            <w:pPr>
              <w:spacing w:after="120"/>
            </w:pPr>
            <w:proofErr w:type="spellStart"/>
            <w:r>
              <w:t>ResRunner</w:t>
            </w:r>
            <w:proofErr w:type="spellEnd"/>
          </w:p>
        </w:tc>
        <w:tc>
          <w:tcPr>
            <w:tcW w:w="6419" w:type="dxa"/>
          </w:tcPr>
          <w:p w14:paraId="114A23FC" w14:textId="77777777" w:rsidR="000B389B" w:rsidRDefault="000B389B" w:rsidP="0022512B">
            <w:pPr>
              <w:spacing w:after="120"/>
            </w:pPr>
            <w:r>
              <w:t>Meeting registration and planning</w:t>
            </w:r>
          </w:p>
        </w:tc>
      </w:tr>
      <w:tr w:rsidR="000B389B" w14:paraId="47B7B56C" w14:textId="77777777" w:rsidTr="0022512B">
        <w:tc>
          <w:tcPr>
            <w:tcW w:w="3116" w:type="dxa"/>
          </w:tcPr>
          <w:p w14:paraId="68F66CDF" w14:textId="77777777" w:rsidR="000B389B" w:rsidRDefault="000B389B" w:rsidP="0022512B">
            <w:pPr>
              <w:spacing w:after="120"/>
            </w:pPr>
            <w:proofErr w:type="spellStart"/>
            <w:r>
              <w:t>Rocketrip</w:t>
            </w:r>
            <w:proofErr w:type="spellEnd"/>
          </w:p>
        </w:tc>
        <w:tc>
          <w:tcPr>
            <w:tcW w:w="6419" w:type="dxa"/>
          </w:tcPr>
          <w:p w14:paraId="50BB97B4" w14:textId="77777777" w:rsidR="000B389B" w:rsidRDefault="000B389B" w:rsidP="0022512B">
            <w:pPr>
              <w:spacing w:after="120"/>
            </w:pPr>
            <w:r>
              <w:t>Travel reward incentive</w:t>
            </w:r>
          </w:p>
        </w:tc>
      </w:tr>
      <w:tr w:rsidR="000B389B" w14:paraId="5820CE4B" w14:textId="77777777" w:rsidTr="0022512B">
        <w:tc>
          <w:tcPr>
            <w:tcW w:w="3116" w:type="dxa"/>
          </w:tcPr>
          <w:p w14:paraId="6DB7D2B0" w14:textId="77777777" w:rsidR="000B389B" w:rsidRDefault="000B389B" w:rsidP="0022512B">
            <w:pPr>
              <w:spacing w:after="120"/>
            </w:pPr>
            <w:r>
              <w:t>SAP</w:t>
            </w:r>
          </w:p>
        </w:tc>
        <w:tc>
          <w:tcPr>
            <w:tcW w:w="6419" w:type="dxa"/>
          </w:tcPr>
          <w:p w14:paraId="401A9DB4" w14:textId="77777777" w:rsidR="000B389B" w:rsidRDefault="000B389B" w:rsidP="0022512B">
            <w:pPr>
              <w:spacing w:after="120"/>
            </w:pPr>
            <w:r>
              <w:t>ERP integration</w:t>
            </w:r>
          </w:p>
        </w:tc>
      </w:tr>
      <w:tr w:rsidR="000B389B" w14:paraId="1E0E5B1E" w14:textId="77777777" w:rsidTr="0022512B">
        <w:tc>
          <w:tcPr>
            <w:tcW w:w="3116" w:type="dxa"/>
          </w:tcPr>
          <w:p w14:paraId="7D96ED28" w14:textId="77777777" w:rsidR="000B389B" w:rsidRDefault="000B389B" w:rsidP="0022512B">
            <w:pPr>
              <w:spacing w:after="120"/>
            </w:pPr>
            <w:r>
              <w:t>SNCB</w:t>
            </w:r>
          </w:p>
        </w:tc>
        <w:tc>
          <w:tcPr>
            <w:tcW w:w="6419" w:type="dxa"/>
          </w:tcPr>
          <w:p w14:paraId="22151689" w14:textId="77777777" w:rsidR="000B389B" w:rsidRDefault="000B389B" w:rsidP="0022512B">
            <w:pPr>
              <w:spacing w:after="120"/>
            </w:pPr>
            <w:r>
              <w:t>European rail aggregator</w:t>
            </w:r>
          </w:p>
        </w:tc>
      </w:tr>
      <w:tr w:rsidR="000B389B" w14:paraId="7ED82D7A" w14:textId="77777777" w:rsidTr="0022512B">
        <w:tc>
          <w:tcPr>
            <w:tcW w:w="3116" w:type="dxa"/>
          </w:tcPr>
          <w:p w14:paraId="27CA3D1B" w14:textId="77777777" w:rsidR="000B389B" w:rsidRDefault="000B389B" w:rsidP="0022512B">
            <w:pPr>
              <w:spacing w:after="120"/>
            </w:pPr>
            <w:r>
              <w:t>SNCF</w:t>
            </w:r>
          </w:p>
        </w:tc>
        <w:tc>
          <w:tcPr>
            <w:tcW w:w="6419" w:type="dxa"/>
          </w:tcPr>
          <w:p w14:paraId="1496F8EC" w14:textId="77777777" w:rsidR="000B389B" w:rsidRDefault="000B389B" w:rsidP="0022512B">
            <w:pPr>
              <w:spacing w:after="120"/>
            </w:pPr>
            <w:r>
              <w:t>European rail aggregator</w:t>
            </w:r>
          </w:p>
        </w:tc>
      </w:tr>
      <w:tr w:rsidR="000B389B" w14:paraId="6C1AF515" w14:textId="77777777" w:rsidTr="0022512B">
        <w:tc>
          <w:tcPr>
            <w:tcW w:w="3116" w:type="dxa"/>
          </w:tcPr>
          <w:p w14:paraId="4655A6EB" w14:textId="77777777" w:rsidR="000B389B" w:rsidRDefault="000B389B" w:rsidP="0022512B">
            <w:pPr>
              <w:spacing w:after="120"/>
            </w:pPr>
            <w:r>
              <w:t>Trainline</w:t>
            </w:r>
          </w:p>
        </w:tc>
        <w:tc>
          <w:tcPr>
            <w:tcW w:w="6419" w:type="dxa"/>
          </w:tcPr>
          <w:p w14:paraId="5EF15A1D" w14:textId="77777777" w:rsidR="000B389B" w:rsidRDefault="000B389B" w:rsidP="0022512B">
            <w:pPr>
              <w:spacing w:after="120"/>
            </w:pPr>
            <w:r>
              <w:t>UK rail</w:t>
            </w:r>
          </w:p>
        </w:tc>
      </w:tr>
      <w:tr w:rsidR="000B389B" w14:paraId="0FBB6E91" w14:textId="77777777" w:rsidTr="0022512B">
        <w:tc>
          <w:tcPr>
            <w:tcW w:w="3116" w:type="dxa"/>
          </w:tcPr>
          <w:p w14:paraId="61390BB5" w14:textId="77777777" w:rsidR="000B389B" w:rsidRDefault="000B389B" w:rsidP="0022512B">
            <w:pPr>
              <w:spacing w:after="120"/>
            </w:pPr>
            <w:proofErr w:type="spellStart"/>
            <w:r>
              <w:t>Travelfusion</w:t>
            </w:r>
            <w:proofErr w:type="spellEnd"/>
          </w:p>
        </w:tc>
        <w:tc>
          <w:tcPr>
            <w:tcW w:w="6419" w:type="dxa"/>
          </w:tcPr>
          <w:p w14:paraId="6482F9F1" w14:textId="77777777" w:rsidR="000B389B" w:rsidRDefault="000B389B" w:rsidP="0022512B">
            <w:pPr>
              <w:spacing w:after="120"/>
            </w:pPr>
            <w:r>
              <w:t>Non-GDS travel content (i.e., air and hotel) aggregator</w:t>
            </w:r>
          </w:p>
        </w:tc>
      </w:tr>
      <w:tr w:rsidR="000B389B" w14:paraId="77958F6E" w14:textId="77777777" w:rsidTr="0022512B">
        <w:tc>
          <w:tcPr>
            <w:tcW w:w="3116" w:type="dxa"/>
          </w:tcPr>
          <w:p w14:paraId="248D6640" w14:textId="77777777" w:rsidR="000B389B" w:rsidRDefault="000B389B" w:rsidP="0022512B">
            <w:pPr>
              <w:spacing w:after="120"/>
            </w:pPr>
            <w:proofErr w:type="spellStart"/>
            <w:r>
              <w:t>Trondent</w:t>
            </w:r>
            <w:proofErr w:type="spellEnd"/>
          </w:p>
        </w:tc>
        <w:tc>
          <w:tcPr>
            <w:tcW w:w="6419" w:type="dxa"/>
          </w:tcPr>
          <w:p w14:paraId="5F987A38" w14:textId="77777777" w:rsidR="000B389B" w:rsidRDefault="000B389B" w:rsidP="0022512B">
            <w:pPr>
              <w:spacing w:after="120"/>
            </w:pPr>
            <w:r>
              <w:t>Web-based pre-trip approval</w:t>
            </w:r>
            <w:r>
              <w:tab/>
            </w:r>
          </w:p>
        </w:tc>
      </w:tr>
      <w:tr w:rsidR="000B389B" w14:paraId="6E7FA27D" w14:textId="77777777" w:rsidTr="0022512B">
        <w:tc>
          <w:tcPr>
            <w:tcW w:w="3116" w:type="dxa"/>
          </w:tcPr>
          <w:p w14:paraId="3FAC6E0A" w14:textId="77777777" w:rsidR="000B389B" w:rsidRDefault="000B389B" w:rsidP="0022512B">
            <w:pPr>
              <w:spacing w:after="120"/>
            </w:pPr>
            <w:proofErr w:type="spellStart"/>
            <w:r>
              <w:t>Zoho</w:t>
            </w:r>
            <w:proofErr w:type="spellEnd"/>
          </w:p>
        </w:tc>
        <w:tc>
          <w:tcPr>
            <w:tcW w:w="6419" w:type="dxa"/>
          </w:tcPr>
          <w:p w14:paraId="550651DE" w14:textId="77777777" w:rsidR="000B389B" w:rsidRDefault="000B389B" w:rsidP="0022512B">
            <w:pPr>
              <w:spacing w:after="120"/>
            </w:pPr>
            <w:r>
              <w:t>Expense reporting</w:t>
            </w:r>
          </w:p>
        </w:tc>
      </w:tr>
    </w:tbl>
    <w:p w14:paraId="31898461" w14:textId="77777777" w:rsidR="000B389B" w:rsidRDefault="000B389B" w:rsidP="000B389B"/>
    <w:sectPr w:rsidR="000B38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F6BF" w14:textId="77777777" w:rsidR="0093682F" w:rsidRDefault="0093682F" w:rsidP="00DE64DE">
      <w:pPr>
        <w:spacing w:after="0" w:line="240" w:lineRule="auto"/>
      </w:pPr>
      <w:r>
        <w:separator/>
      </w:r>
    </w:p>
  </w:endnote>
  <w:endnote w:type="continuationSeparator" w:id="0">
    <w:p w14:paraId="02D0DE10" w14:textId="77777777" w:rsidR="0093682F" w:rsidRDefault="0093682F" w:rsidP="00DE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9E9A" w14:textId="77777777" w:rsidR="0093682F" w:rsidRDefault="0093682F" w:rsidP="00DE64DE">
      <w:pPr>
        <w:spacing w:after="0" w:line="240" w:lineRule="auto"/>
      </w:pPr>
      <w:r>
        <w:separator/>
      </w:r>
    </w:p>
  </w:footnote>
  <w:footnote w:type="continuationSeparator" w:id="0">
    <w:p w14:paraId="7225B636" w14:textId="77777777" w:rsidR="0093682F" w:rsidRDefault="0093682F" w:rsidP="00DE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8FD9" w14:textId="050E4B35" w:rsidR="00DE64DE" w:rsidRDefault="00DE64DE">
    <w:pPr>
      <w:pStyle w:val="Header"/>
    </w:pPr>
    <w:r>
      <w:rPr>
        <w:noProof/>
      </w:rPr>
      <w:drawing>
        <wp:inline distT="0" distB="0" distL="0" distR="0" wp14:anchorId="1067DC9D" wp14:editId="0951F4F4">
          <wp:extent cx="704850" cy="704850"/>
          <wp:effectExtent l="0" t="0" r="0" b="0"/>
          <wp:docPr id="2" name="Picture 2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DE"/>
    <w:rsid w:val="00014B7C"/>
    <w:rsid w:val="000B389B"/>
    <w:rsid w:val="000D75C1"/>
    <w:rsid w:val="001676FB"/>
    <w:rsid w:val="00821214"/>
    <w:rsid w:val="0093682F"/>
    <w:rsid w:val="00981EBE"/>
    <w:rsid w:val="00A62EB3"/>
    <w:rsid w:val="00AB131E"/>
    <w:rsid w:val="00C31073"/>
    <w:rsid w:val="00D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59DA"/>
  <w15:chartTrackingRefBased/>
  <w15:docId w15:val="{0C5B8385-46E8-4053-A15B-3007EEC5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DE"/>
  </w:style>
  <w:style w:type="paragraph" w:styleId="Footer">
    <w:name w:val="footer"/>
    <w:basedOn w:val="Normal"/>
    <w:link w:val="FooterChar"/>
    <w:uiPriority w:val="99"/>
    <w:unhideWhenUsed/>
    <w:rsid w:val="00DE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DE"/>
  </w:style>
  <w:style w:type="table" w:styleId="TableGrid">
    <w:name w:val="Table Grid"/>
    <w:basedOn w:val="TableNormal"/>
    <w:uiPriority w:val="39"/>
    <w:rsid w:val="00DE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Abram, Mita</dc:creator>
  <cp:keywords/>
  <dc:description/>
  <cp:lastModifiedBy>Zimmer, Moritz</cp:lastModifiedBy>
  <cp:revision>3</cp:revision>
  <dcterms:created xsi:type="dcterms:W3CDTF">2022-07-29T13:32:00Z</dcterms:created>
  <dcterms:modified xsi:type="dcterms:W3CDTF">2024-01-30T23:03:00Z</dcterms:modified>
</cp:coreProperties>
</file>